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14960" w:type="dxa"/>
        <w:tblInd w:w="-4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939"/>
        <w:gridCol w:w="861"/>
        <w:gridCol w:w="3012"/>
        <w:gridCol w:w="2295"/>
        <w:gridCol w:w="1148"/>
        <w:gridCol w:w="13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1496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四届庆阳市委第三轮巡察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对象和巡察组受理举报及反映问题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方式一览表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巡察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被巡察单位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巡察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举报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箱地址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受理信访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举报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电话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及电子邮箱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来访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举报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信件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邮寄地址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工信局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庆阳云创大数据智慧有限公司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市工信局门口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9993498823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19993498823@163.com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会展中心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市会展中心门口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市科协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市委市政府统办楼大门西口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市发改委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价格监督检查局、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市粮食监察支队、市粮油储备库、庆宁粮油储备有限公司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9993498824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19993498824@163.com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市政府研究室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市红十字会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市红十字会门口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市教育局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（市教学研究室、庆阳一中、庆阳六中、庆阳七中、庆阳电大、陇东学院附属中学、庆阳五中、北京师大庆阳附属学校、庆化学校、东方红小学、实验小学、特教学校、科教苑幼儿园、庆化幼儿园）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市教育局门口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各学校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幼儿园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门口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9993498825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19993498825@163.com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市统计局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市残联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残疾人康复中心、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残疾人就业服务中心）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市委市政府统办楼大门西口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96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四届庆阳市委第三轮巡察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对象和巡察组受理举报及反映问题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方式一览表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巡察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被巡察单位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巡察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举报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箱地址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受理信访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举报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电话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及电子邮箱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来访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举报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信件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邮寄地址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四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市住建局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（市建筑业管理局、市房地产管理局、市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建筑设计院、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供排水公司、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市海绵城市建设管理办公室、市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海绵城市建设投资开发有限公司、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市墙改工作协调小组办、市散装水泥推广办、市政府投资项目代建管理办公室）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市住建局门口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建筑设计院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供排水公司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门口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9993498829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19993498829@163.com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Arial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市政府金融办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创业扶持小额担保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管理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办公室）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团市委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（青少年宫）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市委市政府统办楼大门西口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青少年宫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门口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市财政局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投融资管理中心、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非税收入管理局、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国库集中收付核算中心、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财政投资评审中心）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市财政局门口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9993498827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19993498827@163.com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市能源局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市文联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市委市政府统办楼大门西口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六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巡察组</w:t>
            </w: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市交通运输局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道路运输管理局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15"/>
                <w:szCs w:val="15"/>
              </w:rPr>
              <w:t>市公路局）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至5月下旬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市交通运输局门口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市道路运输管理局门口</w:t>
            </w:r>
          </w:p>
          <w:p>
            <w:pPr>
              <w:widowControl/>
              <w:jc w:val="center"/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市公路局门口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电话</w:t>
            </w: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9993498828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电子邮箱：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19993498828@163.com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市交警大厦9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庆阳市委市政府统办楼410室（市委巡察办），邮编745000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市政府外事办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市委市政府统办楼大门东口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39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市总工会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Times New Roman" w:hAnsi="Arial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市交警大厦门口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Arial" w:eastAsia="宋体" w:cs="Times New Roman"/>
                <w:color w:val="000000"/>
                <w:kern w:val="0"/>
                <w:sz w:val="20"/>
                <w:szCs w:val="20"/>
              </w:rPr>
              <w:t>市总工会门口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283" w:right="1474" w:bottom="28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628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01"/>
    <w:rsid w:val="0002238D"/>
    <w:rsid w:val="00047316"/>
    <w:rsid w:val="000B1CED"/>
    <w:rsid w:val="000B5FA2"/>
    <w:rsid w:val="000C33DC"/>
    <w:rsid w:val="0013625F"/>
    <w:rsid w:val="00186259"/>
    <w:rsid w:val="001A03E3"/>
    <w:rsid w:val="00226A74"/>
    <w:rsid w:val="002C4501"/>
    <w:rsid w:val="002C601A"/>
    <w:rsid w:val="002F4E0D"/>
    <w:rsid w:val="00435D59"/>
    <w:rsid w:val="00437876"/>
    <w:rsid w:val="00444F65"/>
    <w:rsid w:val="004738B6"/>
    <w:rsid w:val="0049028E"/>
    <w:rsid w:val="004D69FF"/>
    <w:rsid w:val="0058171E"/>
    <w:rsid w:val="00592B2E"/>
    <w:rsid w:val="005C6D81"/>
    <w:rsid w:val="005C7CC8"/>
    <w:rsid w:val="006425B0"/>
    <w:rsid w:val="00645328"/>
    <w:rsid w:val="006548ED"/>
    <w:rsid w:val="0067308D"/>
    <w:rsid w:val="006909C5"/>
    <w:rsid w:val="006A0EA6"/>
    <w:rsid w:val="00712491"/>
    <w:rsid w:val="00734B9F"/>
    <w:rsid w:val="00740619"/>
    <w:rsid w:val="007D112B"/>
    <w:rsid w:val="008A2379"/>
    <w:rsid w:val="008D7073"/>
    <w:rsid w:val="00931ADC"/>
    <w:rsid w:val="009755C8"/>
    <w:rsid w:val="009F4A6B"/>
    <w:rsid w:val="00A064FB"/>
    <w:rsid w:val="00A21FD9"/>
    <w:rsid w:val="00A34391"/>
    <w:rsid w:val="00A84FCE"/>
    <w:rsid w:val="00A93838"/>
    <w:rsid w:val="00AA5FCC"/>
    <w:rsid w:val="00AB0E86"/>
    <w:rsid w:val="00B535C8"/>
    <w:rsid w:val="00B92C71"/>
    <w:rsid w:val="00BC05D1"/>
    <w:rsid w:val="00BF5876"/>
    <w:rsid w:val="00C22822"/>
    <w:rsid w:val="00D10ACC"/>
    <w:rsid w:val="00D13730"/>
    <w:rsid w:val="00D54C84"/>
    <w:rsid w:val="00DA50AF"/>
    <w:rsid w:val="00E4093F"/>
    <w:rsid w:val="00E82F10"/>
    <w:rsid w:val="00EB68E7"/>
    <w:rsid w:val="00F65CA4"/>
    <w:rsid w:val="00FE7E11"/>
    <w:rsid w:val="0E3C29C1"/>
    <w:rsid w:val="245018DE"/>
    <w:rsid w:val="26501C01"/>
    <w:rsid w:val="27070768"/>
    <w:rsid w:val="2D2C6743"/>
    <w:rsid w:val="3588539F"/>
    <w:rsid w:val="3DA7413D"/>
    <w:rsid w:val="41E801D8"/>
    <w:rsid w:val="57107EFB"/>
    <w:rsid w:val="57551933"/>
    <w:rsid w:val="59FB436D"/>
    <w:rsid w:val="5A5722A8"/>
    <w:rsid w:val="5D536293"/>
    <w:rsid w:val="63D20384"/>
    <w:rsid w:val="729812CD"/>
    <w:rsid w:val="72BA12D0"/>
    <w:rsid w:val="77AA71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5BC25-D5CC-4FF5-92EA-B83B6F5C5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457</Words>
  <Characters>2607</Characters>
  <Lines>21</Lines>
  <Paragraphs>6</Paragraphs>
  <TotalTime>0</TotalTime>
  <ScaleCrop>false</ScaleCrop>
  <LinksUpToDate>false</LinksUpToDate>
  <CharactersWithSpaces>3058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2018-11-01T09:07:00Z</dcterms:created>
  <dc:creator>User</dc:creator>
  <cp:lastModifiedBy>Administrator</cp:lastModifiedBy>
  <cp:lastPrinted>2019-03-27T08:15:00Z</cp:lastPrinted>
  <dcterms:modified xsi:type="dcterms:W3CDTF">2019-03-28T01:48:43Z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